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CAC5E0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bookmarkStart w:id="0" w:name="_GoBack"/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Аннотация рабочей программы учебной дисциплины </w:t>
      </w:r>
    </w:p>
    <w:p w14:paraId="2D442C9E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ОП 06 Документационное обеспечение управления </w:t>
      </w:r>
    </w:p>
    <w:p w14:paraId="6A8EB1DA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по специальности 40.02.04 Юриспруденция</w:t>
      </w:r>
    </w:p>
    <w:p w14:paraId="2103A900">
      <w:pPr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31204784">
      <w:pPr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Область применения программы</w:t>
      </w:r>
    </w:p>
    <w:p w14:paraId="57B0D67E">
      <w:pPr>
        <w:shd w:val="clear" w:color="auto" w:fill="FFFFFF"/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Arial" w:hAnsi="Arial" w:eastAsia="Times New Roman" w:cs="Arial"/>
          <w:color w:val="00000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  <w:t xml:space="preserve">            Рабочая программа учебной дисциплины является частью основной профессиональной образовательной программы в соответствии с ФГОС по специальности СПО 40.02.04 Юриспруденция.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  <w:t>Рабочая программа дисциплины разработана на основе Федерального государственного образовательного стандарта 40.02.04 Юриспруденция, утвержденного приказом Министерства просвещения Российской Федерации от 17 августа 2022 г. № 742; примерной образовательной программы среднего профессионального образования по специальности 40.02.04 Юриспруденция (квалификация «Юрист»)</w:t>
      </w:r>
    </w:p>
    <w:p w14:paraId="542AA88E">
      <w:pPr>
        <w:shd w:val="clear" w:color="auto" w:fill="FFFFFF"/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  <w:t>Программа учебной дисциплины может быть использована в дополнительном профессиональном образовании для повышения квалификации и переподготовки, а также при профессиональной подготовке  в рамках специальности 40.02.04 Юриспруденция</w:t>
      </w:r>
    </w:p>
    <w:p w14:paraId="0A2525DD">
      <w:pPr>
        <w:shd w:val="clear" w:color="auto" w:fill="FFFFFF"/>
        <w:spacing w:before="0" w:beforeAutospacing="0" w:after="0" w:afterAutospacing="0" w:line="240" w:lineRule="auto"/>
        <w:ind w:left="400" w:leftChars="200" w:firstLine="1309" w:firstLineChars="545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 w:bidi="ar-SA"/>
        </w:rPr>
        <w:t>Место учебной дисциплины в структуре основной профессиональной образовательной программы</w:t>
      </w:r>
    </w:p>
    <w:p w14:paraId="5ED7713B">
      <w:p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П.00 Профессиональный цикл,ОП.00 Общепрофессиональная дисциплина,</w:t>
      </w:r>
    </w:p>
    <w:p w14:paraId="1354ED9A">
      <w:p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ОП.06 Документационное обеспечение управления</w:t>
      </w:r>
    </w:p>
    <w:p w14:paraId="7601F1DC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Для специальности 40.02.04 Юриспруденция</w:t>
      </w:r>
    </w:p>
    <w:p w14:paraId="03DE9EE8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Цели и задачи учебной дисциплины – требования к результатам освоения учебной дисциплины:</w:t>
      </w:r>
    </w:p>
    <w:p w14:paraId="1808C9B4">
      <w:p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В результате освоения учебной дисциплины «Документационное обеспечение управления» обучающийся должен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 w:bidi="ar-SA"/>
        </w:rPr>
        <w:t>уметь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: </w:t>
      </w:r>
    </w:p>
    <w:p w14:paraId="6677A56F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осуществлять профессиональную деятельность в соответствии с профессиональными ценностями; </w:t>
      </w:r>
    </w:p>
    <w:p w14:paraId="387FB48F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оформлять документацию в соответствии с нормативной базой, в том числе используя информационные технологии;</w:t>
      </w:r>
    </w:p>
    <w:p w14:paraId="57F9505C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унифицировать системы правовой документации;</w:t>
      </w:r>
    </w:p>
    <w:p w14:paraId="3929E3CE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оформлять организационно-распорядительные документы в соответствии с действующим ГОСТом;</w:t>
      </w:r>
    </w:p>
    <w:p w14:paraId="744FA428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осуществлять обработку входящих, внутренних и исходящих документов, осуществлять контроль за их исполнением;</w:t>
      </w:r>
    </w:p>
    <w:p w14:paraId="286ACD9F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осуществлять хранение и поиск документов;</w:t>
      </w:r>
    </w:p>
    <w:p w14:paraId="0262AA86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осуществлять автоматизацию обработки документов;</w:t>
      </w:r>
    </w:p>
    <w:p w14:paraId="222BF31D">
      <w:pPr>
        <w:numPr>
          <w:ilvl w:val="0"/>
          <w:numId w:val="11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использовать телекоммуникационные технологии в электронном делопроизводстве документообороте</w:t>
      </w:r>
    </w:p>
    <w:p w14:paraId="64EF7224">
      <w:pPr>
        <w:shd w:val="clear" w:color="auto" w:fill="FFFFFF"/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В результате освоения учебной дисциплины обучающийся должен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знать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:</w:t>
      </w:r>
    </w:p>
    <w:p w14:paraId="349E98DB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понятий, цели, задач и принципов документоведения и делопроизводства;</w:t>
      </w:r>
    </w:p>
    <w:p w14:paraId="0D99C920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основные понятия документационного обеспечения управления;</w:t>
      </w:r>
    </w:p>
    <w:p w14:paraId="1F678DFB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системы документационного обеспечения управления;</w:t>
      </w:r>
    </w:p>
    <w:p w14:paraId="1F0EC721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классификацию документов; их виды и специфику ,требования к составлению и оформлению документов;</w:t>
      </w:r>
    </w:p>
    <w:p w14:paraId="6B807551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организацию документооборота: прием, обработку, регистрацию, контроль, хранение документов, номенклатуру дел; понятие документа, его свойства, способы документирования;</w:t>
      </w:r>
    </w:p>
    <w:p w14:paraId="1C9E58A9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правила составления и оформления организационно-распорядительных документов (далее - ОРД);</w:t>
      </w:r>
    </w:p>
    <w:p w14:paraId="37B644EA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систему и типовую технологию документационного обеспечения управления (далее - ДОУ);</w:t>
      </w:r>
    </w:p>
    <w:p w14:paraId="367DE5B6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особенности делопроизводства по обращениям граждан и конфиденциального делопроизводства.</w:t>
      </w:r>
    </w:p>
    <w:p w14:paraId="526A6D38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требования к составлению и оформлению  правовых документов;</w:t>
      </w:r>
    </w:p>
    <w:p w14:paraId="49336554">
      <w:pPr>
        <w:numPr>
          <w:ilvl w:val="0"/>
          <w:numId w:val="12"/>
        </w:numPr>
        <w:spacing w:before="0" w:beforeAutospacing="0" w:after="0" w:afterAutospacing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В результате освоения учебной дисциплины, обучающийся должен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 w:bidi="ar-SA"/>
        </w:rPr>
        <w:t>овладеть следующими компетенциями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 w:bidi="ar-SA"/>
        </w:rPr>
        <w:t>:</w:t>
      </w:r>
    </w:p>
    <w:tbl>
      <w:tblPr>
        <w:tblStyle w:val="12"/>
        <w:tblpPr w:leftFromText="180" w:rightFromText="180" w:vertAnchor="text" w:horzAnchor="page" w:tblpX="1293" w:tblpY="328"/>
        <w:tblOverlap w:val="never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4237"/>
        <w:gridCol w:w="4394"/>
      </w:tblGrid>
      <w:tr w14:paraId="4042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0" w:type="auto"/>
          </w:tcPr>
          <w:p w14:paraId="087AC85F">
            <w:pPr>
              <w:suppressAutoHyphen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Код</w:t>
            </w:r>
          </w:p>
          <w:p w14:paraId="5BF853A6">
            <w:pPr>
              <w:suppressAutoHyphen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37" w:type="dxa"/>
          </w:tcPr>
          <w:p w14:paraId="6E91BE5F">
            <w:pPr>
              <w:suppressAutoHyphen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</w:tcPr>
          <w:p w14:paraId="28C8FEBE">
            <w:pPr>
              <w:suppressAutoHyphens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14:paraId="67DF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restart"/>
          </w:tcPr>
          <w:p w14:paraId="095EDC40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ПК 1.1</w:t>
            </w:r>
          </w:p>
          <w:p w14:paraId="6ED2719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ПК 1.2</w:t>
            </w:r>
          </w:p>
          <w:p w14:paraId="7C2B1BA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ПК 1.3</w:t>
            </w:r>
          </w:p>
          <w:p w14:paraId="4030BD95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ОК 06</w:t>
            </w:r>
          </w:p>
          <w:p w14:paraId="63140EA2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ОК 09</w:t>
            </w:r>
          </w:p>
          <w:p w14:paraId="305B8EF2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37" w:type="dxa"/>
          </w:tcPr>
          <w:p w14:paraId="4EE8BD29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положения при изучении специальных юридических дисциплин;</w:t>
            </w:r>
          </w:p>
        </w:tc>
        <w:tc>
          <w:tcPr>
            <w:tcW w:w="4394" w:type="dxa"/>
          </w:tcPr>
          <w:p w14:paraId="3A2F1261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типы и формы государства и права;</w:t>
            </w:r>
          </w:p>
        </w:tc>
      </w:tr>
      <w:tr w14:paraId="27FC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2AA30C47">
            <w:pPr>
              <w:suppressAutoHyphens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</w:tcPr>
          <w:p w14:paraId="4872BA84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юридическими понятиями и категориями;</w:t>
            </w:r>
          </w:p>
        </w:tc>
        <w:tc>
          <w:tcPr>
            <w:tcW w:w="4394" w:type="dxa"/>
          </w:tcPr>
          <w:p w14:paraId="6C584205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политической системе общества;</w:t>
            </w:r>
          </w:p>
        </w:tc>
      </w:tr>
      <w:tr w14:paraId="64221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4FDFB7CF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37" w:type="dxa"/>
          </w:tcPr>
          <w:p w14:paraId="5C35119F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нормы различных отраслей права;</w:t>
            </w:r>
          </w:p>
        </w:tc>
        <w:tc>
          <w:tcPr>
            <w:tcW w:w="4394" w:type="dxa"/>
          </w:tcPr>
          <w:p w14:paraId="7962FB10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систему права Российской Федерации и ее элементы;</w:t>
            </w:r>
          </w:p>
        </w:tc>
      </w:tr>
      <w:tr w14:paraId="5178B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487A396A">
            <w:pPr>
              <w:suppressAutoHyphens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</w:tcPr>
          <w:p w14:paraId="23BA1128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законодательными и иными нормативными правовыми актами, специальной литературой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14:paraId="279BE02A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реализации права;</w:t>
            </w:r>
          </w:p>
        </w:tc>
      </w:tr>
      <w:tr w14:paraId="41E5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201068F7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37" w:type="dxa"/>
          </w:tcPr>
          <w:p w14:paraId="1990EE09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анализировать, делать выводы и обосновывать свою точку зрения по правовым отношениям</w:t>
            </w:r>
          </w:p>
        </w:tc>
        <w:tc>
          <w:tcPr>
            <w:tcW w:w="4394" w:type="dxa"/>
          </w:tcPr>
          <w:p w14:paraId="0C479B92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виды правоотношений;</w:t>
            </w:r>
          </w:p>
        </w:tc>
      </w:tr>
      <w:tr w14:paraId="6393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6217FFB4">
            <w:pPr>
              <w:suppressAutoHyphens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</w:tcPr>
          <w:p w14:paraId="1272464F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79F38076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правонарушений и юридической ответственности;</w:t>
            </w:r>
          </w:p>
        </w:tc>
      </w:tr>
      <w:tr w14:paraId="29C4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0644F285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37" w:type="dxa"/>
          </w:tcPr>
          <w:p w14:paraId="53FDB2DA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3CF24588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правового государства и гражданского общества;</w:t>
            </w:r>
          </w:p>
        </w:tc>
      </w:tr>
      <w:tr w14:paraId="4F28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0F981DDE">
            <w:pPr>
              <w:suppressAutoHyphens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</w:tcPr>
          <w:p w14:paraId="2123C987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687E61B3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типы современных правовых систем;</w:t>
            </w:r>
          </w:p>
        </w:tc>
      </w:tr>
      <w:tr w14:paraId="257D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2EDB64A6">
            <w:pPr>
              <w:suppressAutoHyphens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</w:tcPr>
          <w:p w14:paraId="39858ED4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391C7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социальных норм современного общества;</w:t>
            </w:r>
          </w:p>
        </w:tc>
      </w:tr>
      <w:tr w14:paraId="5CFC4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0" w:type="auto"/>
            <w:vMerge w:val="continue"/>
          </w:tcPr>
          <w:p w14:paraId="482089E3">
            <w:pPr>
              <w:suppressAutoHyphens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</w:tcPr>
          <w:p w14:paraId="6BE6A534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4A8B5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структуру и классификацию норм права.</w:t>
            </w:r>
          </w:p>
        </w:tc>
      </w:tr>
    </w:tbl>
    <w:p w14:paraId="04CB2300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43682DA1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6C93F2C7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Освоение содержания учебной дисциплины «Документационное обеспечение управления» обеспечивает достижение следующих результатов: </w:t>
      </w:r>
    </w:p>
    <w:p w14:paraId="4FA031EC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color w:val="FF000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Личностных:</w:t>
      </w:r>
      <w:r>
        <w:rPr>
          <w:rFonts w:ascii="Times New Roman" w:hAnsi="Times New Roman" w:eastAsia="Calibri" w:cs="Times New Roman"/>
          <w:color w:val="FF0000"/>
          <w:sz w:val="24"/>
          <w:szCs w:val="24"/>
          <w:lang w:val="ru-RU" w:eastAsia="en-US"/>
        </w:rPr>
        <w:t xml:space="preserve"> </w:t>
      </w:r>
    </w:p>
    <w:p w14:paraId="47F0C728">
      <w:pPr>
        <w:numPr>
          <w:ilvl w:val="0"/>
          <w:numId w:val="13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 xml:space="preserve">формирование понимания значимости подготовки в области ДОУ в условиях развития информационного общества; </w:t>
      </w:r>
    </w:p>
    <w:p w14:paraId="2A88E885">
      <w:pPr>
        <w:numPr>
          <w:ilvl w:val="0"/>
          <w:numId w:val="13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>готовности к повышению своего образовательного уровня и продолжению обучения с использованием средств и методов информатики и ИКТ;</w:t>
      </w:r>
    </w:p>
    <w:p w14:paraId="44F892E7">
      <w:pPr>
        <w:numPr>
          <w:ilvl w:val="0"/>
          <w:numId w:val="13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>способности и готовности к общению и сотрудничеству в процессе образовательной, общественно-полезной, учебно- исследовательской, творческой деятельности;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1891CF3E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color w:val="FF000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Метапредметных:</w:t>
      </w:r>
      <w:r>
        <w:rPr>
          <w:rFonts w:ascii="Times New Roman" w:hAnsi="Times New Roman" w:eastAsia="Calibri" w:cs="Times New Roman"/>
          <w:color w:val="FF0000"/>
          <w:sz w:val="24"/>
          <w:szCs w:val="24"/>
          <w:lang w:val="ru-RU" w:eastAsia="en-US"/>
        </w:rPr>
        <w:t xml:space="preserve"> </w:t>
      </w:r>
    </w:p>
    <w:p w14:paraId="2E1DFDDD">
      <w:pPr>
        <w:numPr>
          <w:ilvl w:val="0"/>
          <w:numId w:val="13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</w:t>
      </w:r>
    </w:p>
    <w:p w14:paraId="763BEEFF">
      <w:pPr>
        <w:numPr>
          <w:ilvl w:val="0"/>
          <w:numId w:val="13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ситуацией; оценивать правильность выполнения учебной задачи</w:t>
      </w:r>
    </w:p>
    <w:p w14:paraId="449FC890">
      <w:pPr>
        <w:numPr>
          <w:ilvl w:val="0"/>
          <w:numId w:val="13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6095C7C3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color w:val="FF0000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Предметных: </w:t>
      </w:r>
    </w:p>
    <w:p w14:paraId="1557AC5D">
      <w:pPr>
        <w:numPr>
          <w:ilvl w:val="0"/>
          <w:numId w:val="14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  <w:t>оформления правовой документации в соответствии с нормативной базой, используя информационные технологии;</w:t>
      </w:r>
    </w:p>
    <w:p w14:paraId="531DB2D0">
      <w:pPr>
        <w:numPr>
          <w:ilvl w:val="0"/>
          <w:numId w:val="14"/>
        </w:numPr>
        <w:shd w:val="clear" w:color="auto" w:fill="FFFFFF"/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  <w:t>осуществления автоматизации обработки правовых документов;</w:t>
      </w:r>
    </w:p>
    <w:p w14:paraId="2A5E1C6A">
      <w:pPr>
        <w:numPr>
          <w:ilvl w:val="0"/>
          <w:numId w:val="14"/>
        </w:numPr>
        <w:shd w:val="clear" w:color="auto" w:fill="FFFFFF"/>
        <w:spacing w:after="0" w:line="240" w:lineRule="auto"/>
        <w:ind w:left="400" w:leftChars="200" w:right="-184" w:firstLine="1308" w:firstLineChars="54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 w:bidi="ar-SA"/>
        </w:rPr>
        <w:t>унифицирование системы документации; осуществление хранения и поиска документов;</w:t>
      </w:r>
    </w:p>
    <w:p w14:paraId="17B931F3">
      <w:pPr>
        <w:numPr>
          <w:ilvl w:val="0"/>
          <w:numId w:val="14"/>
        </w:numPr>
        <w:spacing w:after="0" w:line="240" w:lineRule="auto"/>
        <w:ind w:left="400" w:leftChars="200" w:firstLine="1308" w:firstLineChars="545"/>
        <w:contextualSpacing/>
        <w:jc w:val="both"/>
        <w:rPr>
          <w:rFonts w:ascii="Times New Roman" w:hAnsi="Times New Roman" w:eastAsia="等线" w:cs="Times New Roman"/>
          <w:b/>
          <w:sz w:val="24"/>
          <w:szCs w:val="24"/>
          <w:lang w:val="ru-RU" w:eastAsia="ru-RU" w:bidi="ar-SA"/>
        </w:rPr>
      </w:pPr>
      <w:r>
        <w:rPr>
          <w:rFonts w:ascii="Times New Roman" w:hAnsi="Times New Roman" w:eastAsia="等线" w:cs="Times New Roman"/>
          <w:sz w:val="24"/>
          <w:szCs w:val="24"/>
          <w:lang w:val="ru-RU" w:eastAsia="ru-RU" w:bidi="ar-SA"/>
        </w:rPr>
        <w:t xml:space="preserve">структурирование информации, умения выбирать способ представления данных в соответствии с поставленной задачей </w:t>
      </w:r>
    </w:p>
    <w:p w14:paraId="7160247C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6861B505">
      <w:pPr>
        <w:widowControl w:val="0"/>
        <w:autoSpaceDE w:val="0"/>
        <w:autoSpaceDN w:val="0"/>
        <w:spacing w:after="160" w:line="360" w:lineRule="auto"/>
        <w:ind w:left="400" w:leftChars="200" w:firstLine="1309" w:firstLineChars="545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Объем учебной дисциплины и виды учебной работы</w:t>
      </w:r>
    </w:p>
    <w:tbl>
      <w:tblPr>
        <w:tblStyle w:val="15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9"/>
        <w:gridCol w:w="2723"/>
        <w:gridCol w:w="2409"/>
      </w:tblGrid>
      <w:tr w14:paraId="5AAB5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439" w:type="dxa"/>
            <w:vAlign w:val="center"/>
          </w:tcPr>
          <w:p w14:paraId="3DAE5A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723" w:type="dxa"/>
            <w:vAlign w:val="center"/>
          </w:tcPr>
          <w:p w14:paraId="407488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Объем в часах </w:t>
            </w:r>
          </w:p>
          <w:p w14:paraId="0456DE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очной формы обучения)</w:t>
            </w:r>
          </w:p>
        </w:tc>
        <w:tc>
          <w:tcPr>
            <w:tcW w:w="2409" w:type="dxa"/>
            <w:vAlign w:val="center"/>
          </w:tcPr>
          <w:p w14:paraId="45FE8E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Объем в часах </w:t>
            </w:r>
          </w:p>
          <w:p w14:paraId="001A3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заочной формы обучения)</w:t>
            </w:r>
          </w:p>
        </w:tc>
      </w:tr>
      <w:tr w14:paraId="5EFD2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74E859D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723" w:type="dxa"/>
            <w:vAlign w:val="center"/>
          </w:tcPr>
          <w:p w14:paraId="3F8D9D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2409" w:type="dxa"/>
            <w:vAlign w:val="center"/>
          </w:tcPr>
          <w:p w14:paraId="5CC6AE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66</w:t>
            </w:r>
          </w:p>
        </w:tc>
      </w:tr>
      <w:tr w14:paraId="5B644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2971A3D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723" w:type="dxa"/>
            <w:vAlign w:val="center"/>
          </w:tcPr>
          <w:p w14:paraId="5B0A27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14:paraId="39995B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</w:tr>
      <w:tr w14:paraId="05B2C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49728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723" w:type="dxa"/>
            <w:vAlign w:val="center"/>
          </w:tcPr>
          <w:p w14:paraId="67B2B2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14:paraId="780581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15C22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F0D35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723" w:type="dxa"/>
            <w:vAlign w:val="center"/>
          </w:tcPr>
          <w:p w14:paraId="605AD3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2409" w:type="dxa"/>
            <w:vAlign w:val="center"/>
          </w:tcPr>
          <w:p w14:paraId="31F542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14:paraId="37A27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69C98647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(если предусмотрено)</w:t>
            </w:r>
          </w:p>
        </w:tc>
        <w:tc>
          <w:tcPr>
            <w:tcW w:w="2723" w:type="dxa"/>
            <w:vAlign w:val="center"/>
          </w:tcPr>
          <w:p w14:paraId="526718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09" w:type="dxa"/>
            <w:vAlign w:val="center"/>
          </w:tcPr>
          <w:p w14:paraId="771527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</w:tr>
      <w:tr w14:paraId="56E5E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005F0C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(если предусмотрено)</w:t>
            </w:r>
          </w:p>
        </w:tc>
        <w:tc>
          <w:tcPr>
            <w:tcW w:w="2723" w:type="dxa"/>
            <w:vAlign w:val="center"/>
          </w:tcPr>
          <w:p w14:paraId="7312F3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14:paraId="1761DF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14:paraId="782F6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2378B0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(если предусмотрено)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только для общеобразовательных дисциплин</w:t>
            </w:r>
          </w:p>
        </w:tc>
        <w:tc>
          <w:tcPr>
            <w:tcW w:w="2723" w:type="dxa"/>
            <w:vAlign w:val="center"/>
          </w:tcPr>
          <w:p w14:paraId="47A22F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09" w:type="dxa"/>
            <w:vAlign w:val="center"/>
          </w:tcPr>
          <w:p w14:paraId="15AA2E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</w:tr>
      <w:tr w14:paraId="5FC86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16F74E04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курсовая работа (проект)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(если предусмотрено)</w:t>
            </w:r>
          </w:p>
        </w:tc>
        <w:tc>
          <w:tcPr>
            <w:tcW w:w="2723" w:type="dxa"/>
            <w:vAlign w:val="center"/>
          </w:tcPr>
          <w:p w14:paraId="44D02B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09" w:type="dxa"/>
            <w:vAlign w:val="center"/>
          </w:tcPr>
          <w:p w14:paraId="1EB70B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</w:tr>
      <w:tr w14:paraId="2278E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7BBF12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индивидуальный проект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(если предусмотрено)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только для общеобразовательных дисциплин</w:t>
            </w:r>
          </w:p>
        </w:tc>
        <w:tc>
          <w:tcPr>
            <w:tcW w:w="2723" w:type="dxa"/>
            <w:vAlign w:val="center"/>
          </w:tcPr>
          <w:p w14:paraId="7D89DA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да/нет</w:t>
            </w:r>
          </w:p>
        </w:tc>
        <w:tc>
          <w:tcPr>
            <w:tcW w:w="2409" w:type="dxa"/>
            <w:vAlign w:val="center"/>
          </w:tcPr>
          <w:p w14:paraId="35F3D3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да/нет</w:t>
            </w:r>
          </w:p>
        </w:tc>
      </w:tr>
      <w:tr w14:paraId="0B4A0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38E9FF8E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(если предусмотрено) </w:t>
            </w:r>
          </w:p>
        </w:tc>
        <w:tc>
          <w:tcPr>
            <w:tcW w:w="2723" w:type="dxa"/>
            <w:vAlign w:val="center"/>
          </w:tcPr>
          <w:p w14:paraId="48F20F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409" w:type="dxa"/>
            <w:vAlign w:val="center"/>
          </w:tcPr>
          <w:p w14:paraId="1C34B4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53</w:t>
            </w:r>
          </w:p>
        </w:tc>
      </w:tr>
      <w:tr w14:paraId="460B0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3C0C1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723" w:type="dxa"/>
          </w:tcPr>
          <w:p w14:paraId="4E42B7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6+2ПАТТ</w:t>
            </w:r>
          </w:p>
        </w:tc>
        <w:tc>
          <w:tcPr>
            <w:tcW w:w="2409" w:type="dxa"/>
          </w:tcPr>
          <w:p w14:paraId="786172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3+1 ПАТТ</w:t>
            </w:r>
          </w:p>
        </w:tc>
      </w:tr>
    </w:tbl>
    <w:p w14:paraId="04ABC70D">
      <w:pPr>
        <w:rPr>
          <w:lang w:val="en-US"/>
        </w:rPr>
      </w:pPr>
    </w:p>
    <w:p w14:paraId="3DF8CA19">
      <w:pPr>
        <w:rPr>
          <w:lang w:val="en-US"/>
        </w:rPr>
      </w:pPr>
    </w:p>
    <w:p w14:paraId="01298C7D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Содержание</w:t>
      </w:r>
    </w:p>
    <w:p w14:paraId="54275D46">
      <w:pPr>
        <w:autoSpaceDE w:val="0"/>
        <w:autoSpaceDN w:val="0"/>
        <w:adjustRightInd w:val="0"/>
        <w:ind w:left="400" w:leftChars="200" w:firstLine="1309" w:firstLineChars="545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ru-RU" w:eastAsia="en-US" w:bidi="ar-SA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 w:eastAsia="en-US" w:bidi="ar-SA"/>
        </w:rPr>
        <w:t>Раздел 1 Виды документов и требования к их оформлению Основные требования к оформлению организационно-распорядительных документов</w:t>
      </w:r>
    </w:p>
    <w:p w14:paraId="391A9562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Тема 1. Унификация и стандартизация управленческих документов</w:t>
      </w:r>
    </w:p>
    <w:p w14:paraId="438901B8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Тема 1.1Документ его виды и характеристики</w:t>
      </w:r>
    </w:p>
    <w:p w14:paraId="73B08F62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Тема1.2. Классификация видов управленческих документов</w:t>
      </w:r>
    </w:p>
    <w:p w14:paraId="7ED07372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1.3.Бланки документов: понятие, виды, варианты и способы расположения реквизитов</w:t>
      </w:r>
    </w:p>
    <w:p w14:paraId="0A90F396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 1.4.Унификация управленческих документов. УСД. УСОРД. Формуляр-образец ОРД. </w:t>
      </w:r>
    </w:p>
    <w:p w14:paraId="54A08B1D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Тема1.5.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 Стандартизация управленческих документов</w:t>
      </w:r>
    </w:p>
    <w:p w14:paraId="2BC88C3A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1.6.</w:t>
      </w:r>
      <w:r>
        <w:rPr>
          <w:rFonts w:ascii="Calibri" w:hAnsi="Calibri" w:eastAsia="Calibri" w:cs="Times New Roman"/>
          <w:sz w:val="22"/>
          <w:szCs w:val="22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Правила оформления реквизитов</w:t>
      </w:r>
    </w:p>
    <w:p w14:paraId="5869572A">
      <w:pPr>
        <w:autoSpaceDE w:val="0"/>
        <w:autoSpaceDN w:val="0"/>
        <w:adjustRightInd w:val="0"/>
        <w:ind w:left="400" w:leftChars="200" w:firstLine="1309" w:firstLineChars="545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ru-RU" w:eastAsia="en-US" w:bidi="ar-SA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 w:eastAsia="en-US" w:bidi="ar-SA"/>
        </w:rPr>
        <w:t>Тема 2. Правила оформления основных видов организационно-распорядительных и других видов документов</w:t>
      </w:r>
    </w:p>
    <w:p w14:paraId="04E27279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2.1.Организационно-правовая документация: понятие, виды документов</w:t>
      </w:r>
    </w:p>
    <w:p w14:paraId="0A246399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требования по оформлению.</w:t>
      </w:r>
    </w:p>
    <w:p w14:paraId="3323B7F1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2.2. Распорядительная документация: понятие, виды</w:t>
      </w:r>
    </w:p>
    <w:p w14:paraId="54187FEA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документов, требования по оформлению</w:t>
      </w:r>
    </w:p>
    <w:p w14:paraId="257EC2E4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2.3.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Информационно-справочная документация: понятие, виды документов, требования по оформлению </w:t>
      </w:r>
    </w:p>
    <w:p w14:paraId="237B8CAE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2.4.</w:t>
      </w:r>
      <w:r>
        <w:rPr>
          <w:rFonts w:ascii="Calibri" w:hAnsi="Calibri" w:eastAsia="Calibri" w:cs="Times New Roman"/>
          <w:sz w:val="22"/>
          <w:szCs w:val="22"/>
          <w:lang w:val="ru-RU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Документация по трудовым правоотношениям: понятие, виды документов требования по оформлению</w:t>
      </w:r>
    </w:p>
    <w:p w14:paraId="2B96790A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2.5.</w:t>
      </w:r>
      <w:r>
        <w:rPr>
          <w:rFonts w:ascii="Calibri" w:hAnsi="Calibri" w:eastAsia="Calibri" w:cs="Times New Roman"/>
          <w:sz w:val="22"/>
          <w:szCs w:val="22"/>
          <w:lang w:val="ru-RU" w:eastAsia="en-US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Составление примерных образцов должностных инструкций</w:t>
      </w:r>
    </w:p>
    <w:p w14:paraId="60392DD7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Тема 2.6. Оформление служебного письма, требующего письма-ответа, объяснительной, внутренней докладной записки, справки</w:t>
      </w:r>
    </w:p>
    <w:p w14:paraId="3D6B21B3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Тема 2.7. Правила составления отдельных видов документов: оформление записи о приеме на работу нового сотрудника </w:t>
      </w:r>
    </w:p>
    <w:p w14:paraId="57D52DE7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Тема 2.8.Оформление записи о приеме на работу нового сотрудника, о переводе сотрудника на другую работу, об увольнении сотрудника </w:t>
      </w:r>
    </w:p>
    <w:p w14:paraId="163951CF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2.Организация работы с документами</w:t>
      </w:r>
    </w:p>
    <w:p w14:paraId="0F3B252D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Тема 1.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Документооборот</w:t>
      </w:r>
    </w:p>
    <w:p w14:paraId="3AB36C69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 xml:space="preserve">Тема 1.1.Служба ДОУ: основные задачи, функции, </w:t>
      </w:r>
    </w:p>
    <w:p w14:paraId="39ADA830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 xml:space="preserve">Тема 1.2.Типовые структуры, должностной состав, регламентация работы службы ДОУ. </w:t>
      </w:r>
    </w:p>
    <w:p w14:paraId="1DFC9806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1.3.Управление документами, ответственность и полномочия в управлении документами</w:t>
      </w:r>
    </w:p>
    <w:p w14:paraId="6F37B98C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1.4.Организация текущей работы с документами</w:t>
      </w:r>
    </w:p>
    <w:p w14:paraId="7AB99AC7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1.5.Технологии обработки поступающих документов</w:t>
      </w:r>
    </w:p>
    <w:p w14:paraId="3973F0DE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 6.Предварительное рассмотрение документов</w:t>
      </w:r>
    </w:p>
    <w:p w14:paraId="65168927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1.7.Рассмотрение документов руководителем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ab/>
      </w:r>
    </w:p>
    <w:p w14:paraId="2C21389F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1.8.Обработка, регистрация, контроль исполнения документов</w:t>
      </w:r>
    </w:p>
    <w:p w14:paraId="206AD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 xml:space="preserve"> 1.9.Движение документов</w:t>
      </w:r>
    </w:p>
    <w:p w14:paraId="1C942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 xml:space="preserve"> 1.10.Оптимизация документооборота, структура баз данных</w:t>
      </w:r>
    </w:p>
    <w:p w14:paraId="0FE36D3A">
      <w:pPr>
        <w:spacing w:after="0" w:line="240" w:lineRule="auto"/>
        <w:ind w:left="400" w:leftChars="200" w:firstLine="1308" w:firstLineChars="545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 xml:space="preserve"> 1.11.Контроль за исполнением решений</w:t>
      </w:r>
    </w:p>
    <w:p w14:paraId="4A7F8CC8">
      <w:pPr>
        <w:spacing w:after="0" w:line="240" w:lineRule="auto"/>
        <w:ind w:left="400" w:leftChars="200" w:firstLine="1309" w:firstLineChars="545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Тема 2.Организация хранения документов</w:t>
      </w:r>
    </w:p>
    <w:p w14:paraId="2E2F459D">
      <w:pPr>
        <w:spacing w:after="0" w:line="240" w:lineRule="auto"/>
        <w:ind w:left="400" w:leftChars="200" w:firstLine="1199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 xml:space="preserve">Тема2.1 Организация оперативного хранения документов. </w:t>
      </w:r>
    </w:p>
    <w:p w14:paraId="5EED5B5D">
      <w:pPr>
        <w:spacing w:after="0" w:line="240" w:lineRule="auto"/>
        <w:ind w:left="400" w:leftChars="200" w:firstLine="1199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>Тема 2.2Номенклатура дел. Формирование и оформление дел</w:t>
      </w:r>
    </w:p>
    <w:p w14:paraId="192FC832">
      <w:pPr>
        <w:spacing w:after="0" w:line="240" w:lineRule="auto"/>
        <w:ind w:left="400" w:leftChars="200" w:firstLine="1199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>Тема 2.3.Экспертиза ценности документов.</w:t>
      </w:r>
    </w:p>
    <w:p w14:paraId="721B24E1">
      <w:pPr>
        <w:spacing w:after="0" w:line="240" w:lineRule="auto"/>
        <w:ind w:left="400" w:leftChars="200" w:firstLine="1199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 xml:space="preserve"> Тема 2.4.Передача документов на хранение в архив</w:t>
      </w:r>
    </w:p>
    <w:p w14:paraId="5BC511D2">
      <w:pPr>
        <w:spacing w:after="0" w:line="240" w:lineRule="auto"/>
        <w:ind w:left="400" w:leftChars="200" w:firstLine="1199" w:firstLineChars="545"/>
        <w:jc w:val="both"/>
        <w:rPr>
          <w:rFonts w:ascii="Times New Roman" w:hAnsi="Times New Roman" w:eastAsia="Calibri" w:cs="Times New Roman"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sz w:val="22"/>
          <w:szCs w:val="22"/>
          <w:lang w:val="ru-RU" w:eastAsia="en-US"/>
        </w:rPr>
        <w:t>Тема 2.5.Уничтожение документов</w:t>
      </w:r>
    </w:p>
    <w:bookmarkEnd w:id="0"/>
    <w:p w14:paraId="2C6BD956">
      <w:pPr>
        <w:rPr>
          <w:lang w:val="en-US"/>
        </w:rPr>
        <w:sectPr>
          <w:footerReference r:id="rId3" w:type="default"/>
          <w:pgSz w:w="11907" w:h="16840"/>
          <w:pgMar w:top="1134" w:right="851" w:bottom="992" w:left="851" w:header="709" w:footer="709" w:gutter="0"/>
          <w:cols w:space="0" w:num="1"/>
        </w:sectPr>
      </w:pPr>
    </w:p>
    <w:p w14:paraId="4EB273A6">
      <w:pPr>
        <w:rPr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6398">
    <w:pPr>
      <w:framePr w:wrap="around" w:vAnchor="text" w:hAnchor="margin" w:xAlign="right" w:y="1"/>
      <w:tabs>
        <w:tab w:val="center" w:pos="4677"/>
        <w:tab w:val="right" w:pos="9355"/>
      </w:tabs>
      <w:spacing w:after="0" w:line="240" w:lineRule="auto"/>
      <w:rPr>
        <w:rFonts w:ascii="Times New Roman" w:hAnsi="Times New Roman" w:eastAsia="Times New Roman" w:cs="Times New Roman"/>
        <w:sz w:val="24"/>
        <w:szCs w:val="24"/>
        <w:lang w:val="ru-RU" w:eastAsia="ru-RU"/>
      </w:rPr>
    </w:pP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begin"/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instrText xml:space="preserve">PAGE  </w:instrText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separate"/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t>118</w:t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end"/>
    </w:r>
  </w:p>
  <w:p w14:paraId="1A6108E4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 w:eastAsia="Times New Roman" w:cs="Times New Roman"/>
        <w:sz w:val="24"/>
        <w:szCs w:val="24"/>
        <w:lang w:val="ru-RU" w:eastAsia="ru-RU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054F66D1"/>
    <w:multiLevelType w:val="multilevel"/>
    <w:tmpl w:val="054F66D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09976EA"/>
    <w:multiLevelType w:val="multilevel"/>
    <w:tmpl w:val="109976E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1869209F"/>
    <w:multiLevelType w:val="multilevel"/>
    <w:tmpl w:val="1869209F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64C9455F"/>
    <w:multiLevelType w:val="multilevel"/>
    <w:tmpl w:val="64C9455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3D2E204C"/>
    <w:rsid w:val="4DBB338B"/>
    <w:rsid w:val="540821E3"/>
    <w:rsid w:val="6F8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1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2024-06-21T20:19:16Z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